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color w:val="000000"/>
          <w:rtl w:val="0"/>
        </w:rPr>
        <w:tab/>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18" w:lineRule="auto"/>
        <w:rPr/>
      </w:pPr>
      <w:r w:rsidDel="00000000" w:rsidR="00000000" w:rsidRPr="00000000">
        <w:rPr>
          <w:rtl w:val="0"/>
        </w:rPr>
      </w:r>
    </w:p>
    <w:p w:rsidR="00000000" w:rsidDel="00000000" w:rsidP="00000000" w:rsidRDefault="00000000" w:rsidRPr="00000000" w14:paraId="00000003">
      <w:pPr>
        <w:pStyle w:val="Heading1"/>
        <w:numPr>
          <w:ilvl w:val="0"/>
          <w:numId w:val="3"/>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152"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232" w:lineRule="auto"/>
              <w:rPr>
                <w:color w:val="000000"/>
              </w:rPr>
            </w:pPr>
            <w:r w:rsidDel="00000000" w:rsidR="00000000" w:rsidRPr="00000000">
              <w:rPr>
                <w:rtl w:val="0"/>
              </w:rPr>
              <w:t xml:space="preserve">202576002100100007E</w:t>
            </w: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232" w:line="251" w:lineRule="auto"/>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279"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CONVENIO INTERADMINISTRATIVO</w:t>
            </w:r>
          </w:p>
        </w:tc>
      </w:tr>
      <w:tr>
        <w:trPr>
          <w:cantSplit w:val="0"/>
          <w:trHeight w:val="56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right="103"/>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48"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rPr/>
            </w:pPr>
            <w:r w:rsidDel="00000000" w:rsidR="00000000" w:rsidRPr="00000000">
              <w:rPr>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p>
          <w:p w:rsidR="00000000" w:rsidDel="00000000" w:rsidP="00000000" w:rsidRDefault="00000000" w:rsidRPr="00000000" w14:paraId="00000011">
            <w:pPr>
              <w:spacing w:before="5" w:line="235" w:lineRule="auto"/>
              <w:ind w:right="84"/>
              <w:rPr/>
            </w:pPr>
            <w:r w:rsidDel="00000000" w:rsidR="00000000" w:rsidRPr="00000000">
              <w:rPr>
                <w:rtl w:val="0"/>
              </w:rPr>
            </w:r>
          </w:p>
        </w:tc>
      </w:tr>
      <w:tr>
        <w:trPr>
          <w:cantSplit w:val="0"/>
          <w:trHeight w:val="375"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472"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96"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202"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219"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01/06/2025 AL 30/06/2025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23" w:lineRule="auto"/>
        <w:rPr>
          <w:b w:val="1"/>
        </w:rPr>
      </w:pPr>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91" w:lineRule="auto"/>
        <w:ind w:firstLine="264"/>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114300</wp:posOffset>
                </wp:positionH>
                <wp:positionV relativeFrom="paragraph">
                  <wp:posOffset>50800</wp:posOffset>
                </wp:positionV>
                <wp:extent cx="5991225" cy="753743"/>
                <wp:effectExtent b="0" l="0" r="0" t="0"/>
                <wp:wrapNone/>
                <wp:docPr id="14"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114300</wp:posOffset>
                </wp:positionH>
                <wp:positionV relativeFrom="paragraph">
                  <wp:posOffset>50800</wp:posOffset>
                </wp:positionV>
                <wp:extent cx="5991225" cy="753743"/>
                <wp:effectExtent b="0" l="0" r="0" t="0"/>
                <wp:wrapNone/>
                <wp:docPr id="1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991225" cy="753743"/>
                        </a:xfrm>
                        <a:prstGeom prst="rect"/>
                        <a:ln/>
                      </pic:spPr>
                    </pic:pic>
                  </a:graphicData>
                </a:graphic>
              </wp:anchor>
            </w:drawing>
          </mc:Fallback>
        </mc:AlternateContent>
      </w:r>
    </w:p>
    <w:p w:rsidR="00000000" w:rsidDel="00000000" w:rsidP="00000000" w:rsidRDefault="00000000" w:rsidRPr="00000000" w14:paraId="0000002A">
      <w:pPr>
        <w:tabs>
          <w:tab w:val="left" w:leader="none" w:pos="1092"/>
          <w:tab w:val="left" w:leader="none" w:pos="1094"/>
        </w:tabs>
        <w:ind w:right="199"/>
        <w:rPr/>
      </w:pPr>
      <w:r w:rsidDel="00000000" w:rsidR="00000000" w:rsidRPr="00000000">
        <w:rPr>
          <w:rtl w:val="0"/>
        </w:rPr>
      </w:r>
    </w:p>
    <w:p w:rsidR="00000000" w:rsidDel="00000000" w:rsidP="00000000" w:rsidRDefault="00000000" w:rsidRPr="00000000" w14:paraId="0000002B">
      <w:pPr>
        <w:pStyle w:val="Heading1"/>
        <w:spacing w:line="252.00000000000003" w:lineRule="auto"/>
        <w:ind w:left="264" w:firstLine="0"/>
        <w:jc w:val="left"/>
        <w:rPr>
          <w:b w:val="0"/>
        </w:rPr>
      </w:pPr>
      <w:r w:rsidDel="00000000" w:rsidR="00000000" w:rsidRPr="00000000">
        <w:rPr>
          <w:b w:val="0"/>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C">
      <w:pPr>
        <w:pStyle w:val="Heading1"/>
        <w:spacing w:line="252.00000000000003" w:lineRule="auto"/>
        <w:jc w:val="left"/>
        <w:rPr>
          <w:b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blHeader w:val="0"/>
        </w:trPr>
        <w:tc>
          <w:tcPr/>
          <w:p w:rsidR="00000000" w:rsidDel="00000000" w:rsidP="00000000" w:rsidRDefault="00000000" w:rsidRPr="00000000" w14:paraId="00000031">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32">
            <w:pPr>
              <w:spacing w:before="4" w:line="241" w:lineRule="auto"/>
              <w:ind w:left="112" w:firstLine="0"/>
              <w:jc w:val="both"/>
              <w:rPr/>
            </w:pPr>
            <w:r w:rsidDel="00000000" w:rsidR="00000000" w:rsidRPr="00000000">
              <w:rPr>
                <w:rtl w:val="0"/>
              </w:rPr>
              <w:t xml:space="preserve">Se dio inicio a la implementación del protocolo dispuesto en el reglamento, específicamente en lo relacionado con el proceso de selección de los concursantes. Para la debida implementación de este proceso tuvo lugar el proceso de contratación del equipo de validación de </w:t>
            </w:r>
            <w:r w:rsidDel="00000000" w:rsidR="00000000" w:rsidRPr="00000000">
              <w:rPr>
                <w:rtl w:val="0"/>
              </w:rPr>
              <w:t xml:space="preserve">video</w:t>
            </w:r>
            <w:r w:rsidDel="00000000" w:rsidR="00000000" w:rsidRPr="00000000">
              <w:rPr>
                <w:rtl w:val="0"/>
              </w:rPr>
              <w:t xml:space="preserve">. </w:t>
            </w:r>
            <w:hyperlink r:id="rId8">
              <w:r w:rsidDel="00000000" w:rsidR="00000000" w:rsidRPr="00000000">
                <w:rPr>
                  <w:rFonts w:ascii="Roboto" w:cs="Roboto" w:eastAsia="Roboto" w:hAnsi="Roboto"/>
                  <w:color w:val="0b57d0"/>
                  <w:sz w:val="21"/>
                  <w:szCs w:val="21"/>
                  <w:rtl w:val="0"/>
                </w:rPr>
                <w:t xml:space="preserve">https://docs.google.com/document/d/1THOJOvEaz-hTGqDA1dlgzst3ZZXFMrU-lERvGP0243s/edit?tab=t.0</w:t>
              </w:r>
            </w:hyperlink>
            <w:r w:rsidDel="00000000" w:rsidR="00000000" w:rsidRPr="00000000">
              <w:rPr>
                <w:rtl w:val="0"/>
              </w:rPr>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367" w:hRule="atLeast"/>
          <w:tblHeader w:val="0"/>
        </w:trPr>
        <w:tc>
          <w:tcPr/>
          <w:p w:rsidR="00000000" w:rsidDel="00000000" w:rsidP="00000000" w:rsidRDefault="00000000" w:rsidRPr="00000000" w14:paraId="00000039">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3A">
            <w:pPr>
              <w:spacing w:before="4" w:line="241" w:lineRule="auto"/>
              <w:ind w:left="112" w:firstLine="0"/>
              <w:jc w:val="both"/>
              <w:rPr/>
            </w:pPr>
            <w:r w:rsidDel="00000000" w:rsidR="00000000" w:rsidRPr="00000000">
              <w:rPr>
                <w:rtl w:val="0"/>
              </w:rPr>
              <w:t xml:space="preserve">Se realizó la solicitud, ante el Comité Técnico, de aprobación del presupuesto destinado a la contratación del equipo de validadores de video y jurados de selección, en el marco de la adhesión y adición de la Orquesta Filarmónica de Bogotá al Convenio 768 de 2024. Posteriormente, se realizó la gestión de documentos de contratación de los integrantes de estos equipos, disponiendo la información en la carpeta de Drive creada para proporcionar la documentación a la Asociación Nacional de Música Sinfónica. Adicionalmente, se gestionó la firma de los contratos respectivos, ante el personal vinculado y la ANMS. (ANEXO 1. Comité Técnico Operativo). </w:t>
            </w:r>
          </w:p>
        </w:tc>
      </w:tr>
    </w:tbl>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004.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37"/>
        <w:gridCol w:w="4367"/>
        <w:tblGridChange w:id="0">
          <w:tblGrid>
            <w:gridCol w:w="4637"/>
            <w:gridCol w:w="4367"/>
          </w:tblGrid>
        </w:tblGridChange>
      </w:tblGrid>
      <w:tr>
        <w:trPr>
          <w:cantSplit w:val="0"/>
          <w:trHeight w:val="124" w:hRule="atLeast"/>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rHeight w:val="2775"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 La coordinación de producción se ha desarrollado de manera satisfactoria, permitiendo el cumplimiento oportuno del cronograma establecido en el convenio, conforme a las directrices y aprobaciones del Comité Técnico. Entre los avances más relevantes se destacan:</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        Coordinación del equipo de validación de candidatos.</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       Articulación con el equipo de jurados de selección y la presidenta del </w:t>
            </w:r>
            <w:r w:rsidDel="00000000" w:rsidR="00000000" w:rsidRPr="00000000">
              <w:rPr>
                <w:color w:val="000000"/>
                <w:rtl w:val="0"/>
              </w:rPr>
              <w:t xml:space="preserve">jurado</w:t>
            </w:r>
            <w:r w:rsidDel="00000000" w:rsidR="00000000" w:rsidRPr="00000000">
              <w:rPr>
                <w:color w:val="000000"/>
                <w:rtl w:val="0"/>
              </w:rPr>
              <w:t xml:space="preserve">.</w:t>
            </w:r>
          </w:p>
        </w:tc>
      </w:tr>
    </w:tbl>
    <w:p w:rsidR="00000000" w:rsidDel="00000000" w:rsidP="00000000" w:rsidRDefault="00000000" w:rsidRPr="00000000" w14:paraId="00000047">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4"/>
        <w:gridCol w:w="4527"/>
        <w:tblGridChange w:id="0">
          <w:tblGrid>
            <w:gridCol w:w="4824"/>
            <w:gridCol w:w="4527"/>
          </w:tblGrid>
        </w:tblGridChange>
      </w:tblGrid>
      <w:tr>
        <w:trPr>
          <w:cantSplit w:val="0"/>
          <w:trHeight w:val="253" w:hRule="atLeast"/>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Al 30 de junio de 2025 se han realizado 6 comités técnicos operativos de la siguiente forma:</w:t>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1er comité técnico operativo el 06-12-2024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2do comité técnico operativo el 22-01-2025</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3er comité técnico operativo el 19-03-2025.</w:t>
            </w:r>
          </w:p>
          <w:p w:rsidR="00000000" w:rsidDel="00000000" w:rsidP="00000000" w:rsidRDefault="00000000" w:rsidRPr="00000000" w14:paraId="0000005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4to comité técnico operativo asincrónico el 28-03-2025.</w:t>
            </w:r>
          </w:p>
          <w:p w:rsidR="00000000" w:rsidDel="00000000" w:rsidP="00000000" w:rsidRDefault="00000000" w:rsidRPr="00000000" w14:paraId="0000005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5to comité técnico operativo el 12-06-2025.</w:t>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72" w:right="83" w:hanging="36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6to comité técnico operativo asincrónico el 13-06-2025</w:t>
            </w:r>
            <w:r w:rsidDel="00000000" w:rsidR="00000000" w:rsidRPr="00000000">
              <w:rPr>
                <w:rtl w:val="0"/>
              </w:rPr>
              <w:t xml:space="preserve">.</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83"/>
              <w:jc w:val="both"/>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83"/>
              <w:jc w:val="both"/>
              <w:rPr/>
            </w:pPr>
            <w:r w:rsidDel="00000000" w:rsidR="00000000" w:rsidRPr="00000000">
              <w:rPr>
                <w:rtl w:val="0"/>
              </w:rPr>
              <w:t xml:space="preserve">Todas las actas reposan en el expediente N° 202576002100100007E de la plataforma Orfeo.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2" w:right="83"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Se ha participado articuladamente entre las dos entidades en las sesiones del comité técnico convocadas hasta la fecha, cumpliendo con su compromiso de asistencia y disposición técnica. </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Durante estas reuniones, ha acogido y puesto en marcha las recomendaciones formuladas por dicha instancia, lo cual se evidencia en el cronograma y en la ejecución operativa del convenio.</w:t>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Esta participación ha contribuido a fortalecer el seguimiento técnico y la articulación interinstitucional.</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367" w:hRule="atLeast"/>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63">
            <w:pPr>
              <w:spacing w:before="4" w:line="241" w:lineRule="auto"/>
              <w:jc w:val="both"/>
              <w:rPr/>
            </w:pPr>
            <w:r w:rsidDel="00000000" w:rsidR="00000000" w:rsidRPr="00000000">
              <w:rPr>
                <w:rtl w:val="0"/>
              </w:rPr>
              <w:t xml:space="preserve">Durante el periodo reportado, se han realizado las gestiones necesarias para garantizar el adecuado desarrollo del convenio. Se resalta el acompañamiento administrativo de la SCRD y el avance progresivo en el cumplimiento de los compromisos definidos por los comités técnicos, entre ellos, la incorporación de la Orquesta Filarmónica de Bogotá y la ejecución de contrataciones conforme al cronograma establecido. Estas acciones han permitido una implementación coordinada y oportuna. La trazabilidad de dichas gestiones se encuentra detallada en el Anexo 2 – Secretaría Técnica.</w:t>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Durante el periodo reportado, se brindó apoyo a la actualización del presupuesto general del Concurso, según pertinencia, incluyendo la consolidación de los aportes de entidades aliadas, en articulación con los equipos de la Orquesta Filarmónica de Bogotá (OFB). El presupuesto actualizado como soporte se encuentra en el drive dispuesto para el convenio </w:t>
            </w:r>
            <w:hyperlink r:id="rId9">
              <w:r w:rsidDel="00000000" w:rsidR="00000000" w:rsidRPr="00000000">
                <w:rPr>
                  <w:color w:val="1155cc"/>
                  <w:u w:val="single"/>
                  <w:rtl w:val="0"/>
                </w:rPr>
                <w:t xml:space="preserve">https://docs.google.com/spreadsheets/d/16FGwL2jJHozuUL69DdMafDSq8o5S-cFl/edit?gid=603175216#gid=603175216</w:t>
              </w:r>
            </w:hyperlink>
            <w:r w:rsidDel="00000000" w:rsidR="00000000" w:rsidRPr="00000000">
              <w:rPr>
                <w:rtl w:val="0"/>
              </w:rPr>
              <w:t xml:space="preserve">.</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Asimismo, se finalizó la adhesión y adición de la OFB al Convenio 768-2024, incorporando sus aportes al presupuesto del Concurso, con un aporte de $250.000.000, que se realizará en dos desembolsos, los cuales </w:t>
            </w:r>
            <w:r w:rsidDel="00000000" w:rsidR="00000000" w:rsidRPr="00000000">
              <w:rPr>
                <w:sz w:val="24"/>
                <w:szCs w:val="24"/>
                <w:rtl w:val="0"/>
              </w:rPr>
              <w:t xml:space="preserve">se invertirán en las siguientes actividades:</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1">
            <w:pPr>
              <w:widowControl w:val="1"/>
              <w:spacing w:line="276" w:lineRule="auto"/>
              <w:jc w:val="cente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19051</wp:posOffset>
                  </wp:positionH>
                  <wp:positionV relativeFrom="paragraph">
                    <wp:posOffset>114300</wp:posOffset>
                  </wp:positionV>
                  <wp:extent cx="2867025" cy="2120900"/>
                  <wp:effectExtent b="0" l="0" r="0" t="0"/>
                  <wp:wrapNone/>
                  <wp:docPr id="17"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867025" cy="2120900"/>
                          </a:xfrm>
                          <a:prstGeom prst="rect"/>
                          <a:ln/>
                        </pic:spPr>
                      </pic:pic>
                    </a:graphicData>
                  </a:graphic>
                </wp:anchor>
              </w:drawing>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E">
            <w:pPr>
              <w:spacing w:line="252.00000000000003" w:lineRule="auto"/>
              <w:ind w:right="83"/>
              <w:jc w:val="both"/>
              <w:rPr/>
            </w:pPr>
            <w:r w:rsidDel="00000000" w:rsidR="00000000" w:rsidRPr="00000000">
              <w:rPr/>
              <w:drawing>
                <wp:inline distB="114300" distT="114300" distL="114300" distR="114300">
                  <wp:extent cx="2867025" cy="203200"/>
                  <wp:effectExtent b="0" l="0" r="0" t="0"/>
                  <wp:docPr id="16"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867025" cy="203200"/>
                          </a:xfrm>
                          <a:prstGeom prst="rect"/>
                          <a:ln/>
                        </pic:spPr>
                      </pic:pic>
                    </a:graphicData>
                  </a:graphic>
                </wp:inline>
              </w:drawing>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52.00000000000003" w:lineRule="auto"/>
              <w:ind w:right="83"/>
              <w:jc w:val="both"/>
              <w:rPr>
                <w:color w:val="000000"/>
              </w:rPr>
            </w:pPr>
            <w:r w:rsidDel="00000000" w:rsidR="00000000" w:rsidRPr="00000000">
              <w:rPr>
                <w:rtl w:val="0"/>
              </w:rPr>
              <w:t xml:space="preserve">Este proceso se encuentra alojado en la plataforma Orfeo bajo el radicado </w:t>
            </w:r>
            <w:r w:rsidDel="00000000" w:rsidR="00000000" w:rsidRPr="00000000">
              <w:rPr>
                <w:rtl w:val="0"/>
              </w:rPr>
              <w:t xml:space="preserve">20257600286023</w:t>
            </w:r>
            <w:r w:rsidDel="00000000" w:rsidR="00000000" w:rsidRPr="00000000">
              <w:rPr>
                <w:rtl w:val="0"/>
              </w:rPr>
              <w:t xml:space="preserve">.</w:t>
            </w:r>
            <w:r w:rsidDel="00000000" w:rsidR="00000000" w:rsidRPr="00000000">
              <w:rPr>
                <w:rtl w:val="0"/>
              </w:rPr>
            </w:r>
          </w:p>
        </w:tc>
      </w:tr>
    </w:tbl>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255.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0"/>
        <w:gridCol w:w="4545"/>
        <w:tblGridChange w:id="0">
          <w:tblGrid>
            <w:gridCol w:w="4710"/>
            <w:gridCol w:w="4545"/>
          </w:tblGrid>
        </w:tblGridChange>
      </w:tblGrid>
      <w:tr>
        <w:trPr>
          <w:cantSplit w:val="0"/>
          <w:trHeight w:val="251" w:hRule="atLeast"/>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86">
            <w:pPr>
              <w:spacing w:before="4" w:line="241" w:lineRule="auto"/>
              <w:jc w:val="both"/>
              <w:rPr/>
            </w:pPr>
            <w:r w:rsidDel="00000000" w:rsidR="00000000" w:rsidRPr="00000000">
              <w:rPr>
                <w:rtl w:val="0"/>
              </w:rPr>
              <w:t xml:space="preserve">A la fecha se han realizado y enviado por parte de la ANMS cinco (5) informes de ejecución financiera, correspondientes a los meses de </w:t>
            </w:r>
            <w:r w:rsidDel="00000000" w:rsidR="00000000" w:rsidRPr="00000000">
              <w:rPr>
                <w:rtl w:val="0"/>
              </w:rPr>
              <w:t xml:space="preserve">febrero, marzo, abril, mayo y junio</w:t>
            </w:r>
            <w:r w:rsidDel="00000000" w:rsidR="00000000" w:rsidRPr="00000000">
              <w:rPr>
                <w:rtl w:val="0"/>
              </w:rPr>
              <w:t xml:space="preserve"> informando la ejecución del convenio, dichos informes enviados a </w:t>
            </w:r>
            <w:hyperlink r:id="rId12">
              <w:r w:rsidDel="00000000" w:rsidR="00000000" w:rsidRPr="00000000">
                <w:rPr>
                  <w:color w:val="1155cc"/>
                  <w:u w:val="single"/>
                  <w:rtl w:val="0"/>
                </w:rPr>
                <w:t xml:space="preserve">correspondencia.externa@scrd.gov.co</w:t>
              </w:r>
            </w:hyperlink>
            <w:r w:rsidDel="00000000" w:rsidR="00000000" w:rsidRPr="00000000">
              <w:rPr>
                <w:rtl w:val="0"/>
              </w:rPr>
              <w:t xml:space="preserve"> </w:t>
            </w:r>
            <w:r w:rsidDel="00000000" w:rsidR="00000000" w:rsidRPr="00000000">
              <w:rPr>
                <w:rtl w:val="0"/>
              </w:rPr>
              <w:t xml:space="preserve">y alojados en el expediente No. 202576002100100007E.</w:t>
            </w:r>
          </w:p>
          <w:p w:rsidR="00000000" w:rsidDel="00000000" w:rsidP="00000000" w:rsidRDefault="00000000" w:rsidRPr="00000000" w14:paraId="00000087">
            <w:pPr>
              <w:spacing w:before="4" w:line="241" w:lineRule="auto"/>
              <w:jc w:val="both"/>
              <w:rPr/>
            </w:pPr>
            <w:r w:rsidDel="00000000" w:rsidR="00000000" w:rsidRPr="00000000">
              <w:rPr>
                <w:rtl w:val="0"/>
              </w:rPr>
            </w:r>
          </w:p>
          <w:p w:rsidR="00000000" w:rsidDel="00000000" w:rsidP="00000000" w:rsidRDefault="00000000" w:rsidRPr="00000000" w14:paraId="00000088">
            <w:pPr>
              <w:spacing w:before="4" w:line="241" w:lineRule="auto"/>
              <w:jc w:val="both"/>
              <w:rPr/>
            </w:pPr>
            <w:r w:rsidDel="00000000" w:rsidR="00000000" w:rsidRPr="00000000">
              <w:rPr>
                <w:rtl w:val="0"/>
              </w:rPr>
              <w:t xml:space="preserve">En el periodo de informe no se realizaron acercamientos con </w:t>
            </w:r>
            <w:r w:rsidDel="00000000" w:rsidR="00000000" w:rsidRPr="00000000">
              <w:rPr>
                <w:rtl w:val="0"/>
              </w:rPr>
              <w:t xml:space="preserve">patrocinadores</w:t>
            </w:r>
            <w:r w:rsidDel="00000000" w:rsidR="00000000" w:rsidRPr="00000000">
              <w:rPr>
                <w:rtl w:val="0"/>
              </w:rPr>
              <w:t xml:space="preserve">.</w:t>
            </w:r>
          </w:p>
        </w:tc>
      </w:tr>
    </w:tbl>
    <w:p w:rsidR="00000000" w:rsidDel="00000000" w:rsidP="00000000" w:rsidRDefault="00000000" w:rsidRPr="00000000" w14:paraId="00000089">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Se realizó el diseño de la matriz de verificación, como insumo inicial para el desarrollo de la fase de evaluación; se incluye tanto la verificación del cumplimiento de los documentos requeridos en el marco de la convocatoria del concurso como la validación del cumplimiento de los requerimientos técnicos y de repertorio de la video audición. Adicionalmente, en esta matriz se realiza la sistematización de las hojas de vida de los candidatos, clasificando su información académica y profesional.</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Se realizó la </w:t>
            </w:r>
            <w:r w:rsidDel="00000000" w:rsidR="00000000" w:rsidRPr="00000000">
              <w:rPr>
                <w:rtl w:val="0"/>
              </w:rPr>
              <w:t xml:space="preserve">capacitación</w:t>
            </w:r>
            <w:r w:rsidDel="00000000" w:rsidR="00000000" w:rsidRPr="00000000">
              <w:rPr>
                <w:rtl w:val="0"/>
              </w:rPr>
              <w:t xml:space="preserve"> virtual y acompañamiento al equipo de validación, el cual estuvo a cargo de las verificaciones mencionadas anteriormente, con la asistencia de 129 personas. Esta matriz se adjunta con corte al 30 de junio de 2025 en el (ANEXO 3. Verificación validación, capacitación y acompañamiento) y se encuentra disponible en el siguiente enlace:</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3" w:line="241" w:lineRule="auto"/>
              <w:jc w:val="both"/>
              <w:rPr>
                <w:u w:val="single"/>
              </w:rPr>
            </w:pPr>
            <w:r w:rsidDel="00000000" w:rsidR="00000000" w:rsidRPr="00000000">
              <w:rPr>
                <w:rtl w:val="0"/>
              </w:rPr>
              <w:t xml:space="preserve"> </w:t>
            </w:r>
            <w:hyperlink r:id="rId13">
              <w:r w:rsidDel="00000000" w:rsidR="00000000" w:rsidRPr="00000000">
                <w:rPr>
                  <w:color w:val="0000ff"/>
                  <w:u w:val="single"/>
                  <w:rtl w:val="0"/>
                </w:rPr>
                <w:t xml:space="preserve">https://docs.google.com/spreadsheets/d/1GU8awbeVuK4rATLpWoUzCYAiEtOcg5yzG4_4D4VHPQc/edit?gid=0#gid=0</w:t>
              </w:r>
            </w:hyperlink>
            <w:r w:rsidDel="00000000" w:rsidR="00000000" w:rsidRPr="00000000">
              <w:rPr>
                <w:u w:val="single"/>
                <w:rtl w:val="0"/>
              </w:rPr>
              <w:t xml:space="preserve"> </w:t>
            </w:r>
          </w:p>
        </w:tc>
      </w:tr>
    </w:tbl>
    <w:p w:rsidR="00000000" w:rsidDel="00000000" w:rsidP="00000000" w:rsidRDefault="00000000" w:rsidRPr="00000000" w14:paraId="00000093">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255.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25"/>
        <w:gridCol w:w="4530"/>
        <w:tblGridChange w:id="0">
          <w:tblGrid>
            <w:gridCol w:w="4725"/>
            <w:gridCol w:w="4530"/>
          </w:tblGrid>
        </w:tblGridChange>
      </w:tblGrid>
      <w:tr>
        <w:trPr>
          <w:cantSplit w:val="0"/>
          <w:trHeight w:val="251" w:hRule="atLeast"/>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362" w:hRule="atLeast"/>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ind w:right="85"/>
              <w:jc w:val="both"/>
              <w:rPr>
                <w:color w:val="000000"/>
              </w:rPr>
            </w:pPr>
            <w:r w:rsidDel="00000000" w:rsidR="00000000" w:rsidRPr="00000000">
              <w:rPr>
                <w:color w:val="000000"/>
                <w:rtl w:val="0"/>
              </w:rPr>
              <w:t xml:space="preserve">Para el cumplimiento de esta obligación se requiere que el concurso haya tenido lugar. Se aprueba una tasa techo en dólares para tener la provisión de premios lista para ese entonces. Los premios en efectivo se entregarán en el mes de noviembre, de acuerdo al plan de trabajo del presente convenio. </w:t>
            </w:r>
          </w:p>
        </w:tc>
      </w:tr>
    </w:tbl>
    <w:p w:rsidR="00000000" w:rsidDel="00000000" w:rsidP="00000000" w:rsidRDefault="00000000" w:rsidRPr="00000000" w14:paraId="0000009A">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068"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2" w:line="237" w:lineRule="auto"/>
              <w:ind w:right="83"/>
              <w:jc w:val="both"/>
              <w:rPr/>
            </w:pPr>
            <w:r w:rsidDel="00000000" w:rsidR="00000000" w:rsidRPr="00000000">
              <w:rPr>
                <w:rtl w:val="0"/>
              </w:rPr>
              <w:t xml:space="preserve">Durante el periodo del informe se realizó acompañamiento, a través de la coordinación académica, al proceso de ajustes a la composición de la obra comisionada. Como resultado de este proceso, la compositora Carolina Noguera realizó una nueva entrega de la obra, la cual incorpora los ajustes </w:t>
            </w:r>
            <w:r w:rsidDel="00000000" w:rsidR="00000000" w:rsidRPr="00000000">
              <w:rPr>
                <w:rtl w:val="0"/>
              </w:rPr>
              <w:t xml:space="preserve">requeridos</w:t>
            </w:r>
            <w:r w:rsidDel="00000000" w:rsidR="00000000" w:rsidRPr="00000000">
              <w:rPr>
                <w:rtl w:val="0"/>
              </w:rPr>
              <w:t xml:space="preserve">. (ANEXO 4. SERENATA PAGANA, CAROLINA NOGUERA) Se alojan en el siguiente enlace:</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2" w:line="237" w:lineRule="auto"/>
              <w:ind w:right="83"/>
              <w:jc w:val="both"/>
              <w:rPr/>
            </w:pPr>
            <w:hyperlink r:id="rId14">
              <w:r w:rsidDel="00000000" w:rsidR="00000000" w:rsidRPr="00000000">
                <w:rPr>
                  <w:rFonts w:ascii="Roboto" w:cs="Roboto" w:eastAsia="Roboto" w:hAnsi="Roboto"/>
                  <w:color w:val="0000ee"/>
                  <w:sz w:val="21"/>
                  <w:szCs w:val="21"/>
                  <w:u w:val="single"/>
                  <w:rtl w:val="0"/>
                </w:rPr>
                <w:t xml:space="preserve">SERENATA PAGANA, CAROLINA NOGUERA</w:t>
              </w:r>
            </w:hyperlink>
            <w:r w:rsidDel="00000000" w:rsidR="00000000" w:rsidRPr="00000000">
              <w:rPr>
                <w:rtl w:val="0"/>
              </w:rPr>
            </w:r>
          </w:p>
        </w:tc>
      </w:tr>
    </w:tbl>
    <w:p w:rsidR="00000000" w:rsidDel="00000000" w:rsidP="00000000" w:rsidRDefault="00000000" w:rsidRPr="00000000" w14:paraId="000000A2">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A9">
            <w:pPr>
              <w:spacing w:before="4" w:line="241" w:lineRule="auto"/>
              <w:ind w:left="112" w:firstLine="0"/>
              <w:jc w:val="both"/>
              <w:rPr/>
            </w:pPr>
            <w:r w:rsidDel="00000000" w:rsidR="00000000" w:rsidRPr="00000000">
              <w:rPr>
                <w:rtl w:val="0"/>
              </w:rPr>
              <w:t xml:space="preserve">Durante el periodo del informe se realizó seguimiento a la articulación con el Conservatorio Tchaikovsky, realizando el envío de invitación formal desde el despacho al Señor Aleksander Sokolov, rector de esta institución. Adicionalmente, se realizó seguimiento telefónico a la articulación con la Fundación Bolívar Davivienda, a través de Juan Andrés Rojas, Director Ejecutivo de la Filarmónica Joven de Colombia. Como resultado de esta gestión, el aliado reitera su voluntad de apoyar el desarrollo de las clases magistrales del Concurso, mediante el apoyo con tiquetes aéreos a 10 violinistas provenientes de otras ciudades que sean elegidos para participar en este espacio. Se requiere formalizar esta articulación.</w:t>
            </w:r>
          </w:p>
        </w:tc>
      </w:tr>
    </w:tbl>
    <w:p w:rsidR="00000000" w:rsidDel="00000000" w:rsidP="00000000" w:rsidRDefault="00000000" w:rsidRPr="00000000" w14:paraId="000000AA">
      <w:pPr>
        <w:pBdr>
          <w:top w:space="0" w:sz="0" w:val="nil"/>
          <w:left w:space="0" w:sz="0" w:val="nil"/>
          <w:bottom w:space="0" w:sz="0" w:val="nil"/>
          <w:right w:space="0" w:sz="0" w:val="nil"/>
          <w:between w:space="0" w:sz="0" w:val="nil"/>
        </w:pBdr>
        <w:spacing w:before="21" w:lineRule="auto"/>
        <w:rPr>
          <w:highlight w:val="yellow"/>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731" w:hRule="atLeast"/>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B0">
            <w:pPr>
              <w:ind w:right="87"/>
              <w:jc w:val="both"/>
              <w:rPr/>
            </w:pPr>
            <w:r w:rsidDel="00000000" w:rsidR="00000000" w:rsidRPr="00000000">
              <w:rPr>
                <w:rtl w:val="0"/>
              </w:rPr>
              <w:t xml:space="preserve">Durante el periodo del informe no se realizaron publicaciones en medios </w:t>
            </w:r>
            <w:r w:rsidDel="00000000" w:rsidR="00000000" w:rsidRPr="00000000">
              <w:rPr>
                <w:rtl w:val="0"/>
              </w:rPr>
              <w:t xml:space="preserve">especializados</w:t>
            </w:r>
            <w:r w:rsidDel="00000000" w:rsidR="00000000" w:rsidRPr="00000000">
              <w:rPr>
                <w:rtl w:val="0"/>
              </w:rPr>
              <w:t xml:space="preserve">.</w:t>
            </w:r>
          </w:p>
        </w:tc>
      </w:tr>
    </w:tbl>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B7">
            <w:pPr>
              <w:spacing w:line="242" w:lineRule="auto"/>
              <w:ind w:right="83"/>
              <w:jc w:val="both"/>
              <w:rPr/>
            </w:pPr>
            <w:r w:rsidDel="00000000" w:rsidR="00000000" w:rsidRPr="00000000">
              <w:rPr>
                <w:rtl w:val="0"/>
              </w:rPr>
              <w:t xml:space="preserve">Se realizó seguimiento a la actualización de la página web del Concurso, dando lugar a revisiones y solicitudes de ajuste, en articulación con el equipo de la SCRD.</w:t>
            </w:r>
          </w:p>
          <w:p w:rsidR="00000000" w:rsidDel="00000000" w:rsidP="00000000" w:rsidRDefault="00000000" w:rsidRPr="00000000" w14:paraId="000000B8">
            <w:pPr>
              <w:spacing w:line="242" w:lineRule="auto"/>
              <w:ind w:right="83"/>
              <w:jc w:val="both"/>
              <w:rPr/>
            </w:pPr>
            <w:r w:rsidDel="00000000" w:rsidR="00000000" w:rsidRPr="00000000">
              <w:rPr>
                <w:rtl w:val="0"/>
              </w:rPr>
            </w:r>
          </w:p>
          <w:p w:rsidR="00000000" w:rsidDel="00000000" w:rsidP="00000000" w:rsidRDefault="00000000" w:rsidRPr="00000000" w14:paraId="000000B9">
            <w:pPr>
              <w:spacing w:line="242" w:lineRule="auto"/>
              <w:ind w:right="83"/>
              <w:jc w:val="both"/>
              <w:rPr/>
            </w:pPr>
            <w:r w:rsidDel="00000000" w:rsidR="00000000" w:rsidRPr="00000000">
              <w:rPr>
                <w:rtl w:val="0"/>
              </w:rPr>
              <w:t xml:space="preserve">Durante el periodo del informe, la AOC gestionó 10 publicaciones en medios nacionales, tanto online como impresos y radio. El reporte detallado de la AOC está disponible para consulta en el siguiente enlace: </w:t>
            </w:r>
            <w:hyperlink r:id="rId15">
              <w:r w:rsidDel="00000000" w:rsidR="00000000" w:rsidRPr="00000000">
                <w:rPr>
                  <w:color w:val="0000ff"/>
                  <w:u w:val="single"/>
                  <w:rtl w:val="0"/>
                </w:rPr>
                <w:t xml:space="preserve">MONITOREO PUBLICACIONES CONCURSO VIOLÍN SCRD - Hojas de cálculo de Google</w:t>
              </w:r>
            </w:hyperlink>
            <w:r w:rsidDel="00000000" w:rsidR="00000000" w:rsidRPr="00000000">
              <w:rPr>
                <w:rtl w:val="0"/>
              </w:rPr>
              <w:t xml:space="preserve">. Y se adjunta en el (ANEXO 5. MONITOREO PUBLICACIONES CONCURSO VIOLÍN SCRD).</w:t>
            </w:r>
          </w:p>
        </w:tc>
      </w:tr>
    </w:tbl>
    <w:p w:rsidR="00000000" w:rsidDel="00000000" w:rsidP="00000000" w:rsidRDefault="00000000" w:rsidRPr="00000000" w14:paraId="000000BA">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BB">
      <w:pPr>
        <w:pStyle w:val="Heading1"/>
        <w:numPr>
          <w:ilvl w:val="0"/>
          <w:numId w:val="3"/>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184" w:line="254" w:lineRule="auto"/>
        <w:ind w:left="264" w:firstLine="0"/>
        <w:jc w:val="both"/>
        <w:rPr>
          <w:color w:val="000000"/>
        </w:rPr>
      </w:pPr>
      <w:r w:rsidDel="00000000" w:rsidR="00000000" w:rsidRPr="00000000">
        <w:rPr>
          <w:color w:val="000000"/>
          <w:rtl w:val="0"/>
        </w:rPr>
        <w:t xml:space="preserve">Conforme la matriz de riesgos definida el comité operativo no ha percibido la posible</w:t>
      </w:r>
      <w:r w:rsidDel="00000000" w:rsidR="00000000" w:rsidRPr="00000000">
        <w:rPr>
          <w:rtl w:val="0"/>
        </w:rPr>
        <w:t xml:space="preserve"> </w:t>
      </w:r>
      <w:r w:rsidDel="00000000" w:rsidR="00000000" w:rsidRPr="00000000">
        <w:rPr>
          <w:color w:val="000000"/>
          <w:rtl w:val="0"/>
        </w:rPr>
        <w:t xml:space="preserve">materialización de alguno de los riesgos, para el proceso de selección se procedió a efectuar el seguimiento de los mismos así:</w:t>
      </w:r>
    </w:p>
    <w:p w:rsidR="00000000" w:rsidDel="00000000" w:rsidP="00000000" w:rsidRDefault="00000000" w:rsidRPr="00000000" w14:paraId="000000BD">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BE">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BF">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1">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C3">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C5">
      <w:pPr>
        <w:pStyle w:val="Heading1"/>
        <w:numPr>
          <w:ilvl w:val="0"/>
          <w:numId w:val="3"/>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C6">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C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A">
      <w:pPr>
        <w:pStyle w:val="Heading1"/>
        <w:numPr>
          <w:ilvl w:val="0"/>
          <w:numId w:val="3"/>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CB">
      <w:pPr>
        <w:pStyle w:val="Heading1"/>
        <w:tabs>
          <w:tab w:val="left" w:leader="none" w:pos="826"/>
          <w:tab w:val="left" w:leader="none" w:pos="828"/>
        </w:tabs>
        <w:ind w:left="0" w:right="43" w:firstLine="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0C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CF">
      <w:pPr>
        <w:numPr>
          <w:ilvl w:val="0"/>
          <w:numId w:val="3"/>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619"/>
          <w:tab w:val="left" w:leader="none" w:pos="621"/>
        </w:tabs>
        <w:ind w:left="624" w:right="45" w:firstLine="0"/>
        <w:jc w:val="both"/>
        <w:rPr>
          <w:b w:val="1"/>
        </w:rPr>
      </w:pPr>
      <w:r w:rsidDel="00000000" w:rsidR="00000000" w:rsidRPr="00000000">
        <w:rPr>
          <w:rtl w:val="0"/>
        </w:rPr>
      </w:r>
    </w:p>
    <w:tbl>
      <w:tblPr>
        <w:tblStyle w:val="Table17"/>
        <w:tblW w:w="9240.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70"/>
        <w:gridCol w:w="2970"/>
        <w:tblGridChange w:id="0">
          <w:tblGrid>
            <w:gridCol w:w="6270"/>
            <w:gridCol w:w="2970"/>
          </w:tblGrid>
        </w:tblGridChange>
      </w:tblGrid>
      <w:tr>
        <w:trPr>
          <w:cantSplit w:val="0"/>
          <w:trHeight w:val="329.18918918918916" w:hRule="atLeast"/>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ind w:left="371" w:right="126" w:firstLine="206"/>
              <w:jc w:val="center"/>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w:t>
            </w:r>
          </w:p>
        </w:tc>
      </w:tr>
      <w:tr>
        <w:trPr>
          <w:cantSplit w:val="0"/>
          <w:trHeight w:val="452.63513513513516" w:hRule="atLeast"/>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1</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27" w:lineRule="auto"/>
              <w:ind w:left="155" w:firstLine="0"/>
              <w:jc w:val="center"/>
              <w:rPr>
                <w:color w:val="000000"/>
              </w:rPr>
            </w:pPr>
            <w:r w:rsidDel="00000000" w:rsidR="00000000" w:rsidRPr="00000000">
              <w:rPr>
                <w:rtl w:val="0"/>
              </w:rPr>
              <w:t xml:space="preserve">06/12/2024</w:t>
            </w:r>
            <w:r w:rsidDel="00000000" w:rsidR="00000000" w:rsidRPr="00000000">
              <w:rPr>
                <w:rtl w:val="0"/>
              </w:rPr>
            </w:r>
          </w:p>
        </w:tc>
      </w:tr>
      <w:tr>
        <w:trPr>
          <w:cantSplit w:val="0"/>
          <w:trHeight w:val="452.63513513513516" w:hRule="atLeast"/>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2</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22/01/2025</w:t>
            </w:r>
          </w:p>
        </w:tc>
      </w:tr>
      <w:tr>
        <w:trPr>
          <w:cantSplit w:val="0"/>
          <w:trHeight w:val="452.63513513513516" w:hRule="atLeast"/>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w:t>
            </w:r>
            <w:r w:rsidDel="00000000" w:rsidR="00000000" w:rsidRPr="00000000">
              <w:rPr>
                <w:rtl w:val="0"/>
              </w:rPr>
              <w:t xml:space="preserve">3</w:t>
            </w: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19/03/2025</w:t>
            </w:r>
          </w:p>
        </w:tc>
      </w:tr>
      <w:tr>
        <w:trPr>
          <w:cantSplit w:val="0"/>
          <w:trHeight w:val="452.63513513513516" w:hRule="atLeast"/>
          <w:tblHeader w:val="0"/>
        </w:trPr>
        <w:tc>
          <w:tcPr/>
          <w:p w:rsidR="00000000" w:rsidDel="00000000" w:rsidP="00000000" w:rsidRDefault="00000000" w:rsidRPr="00000000" w14:paraId="000000D9">
            <w:pPr>
              <w:spacing w:before="2" w:line="288" w:lineRule="auto"/>
              <w:ind w:left="139" w:right="126" w:firstLine="0"/>
              <w:jc w:val="center"/>
              <w:rPr>
                <w:color w:val="000000"/>
              </w:rPr>
            </w:pPr>
            <w:r w:rsidDel="00000000" w:rsidR="00000000" w:rsidRPr="00000000">
              <w:rPr>
                <w:rtl w:val="0"/>
              </w:rPr>
              <w:t xml:space="preserve">COMITÉ TÉCNICO OPERATIVO ASINCRÓNICO No. 4</w:t>
            </w: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28/03/2025</w:t>
            </w:r>
          </w:p>
        </w:tc>
      </w:tr>
      <w:tr>
        <w:trPr>
          <w:cantSplit w:val="0"/>
          <w:trHeight w:val="452.63513513513516" w:hRule="atLeast"/>
          <w:tblHeader w:val="0"/>
        </w:trPr>
        <w:tc>
          <w:tcPr/>
          <w:p w:rsidR="00000000" w:rsidDel="00000000" w:rsidP="00000000" w:rsidRDefault="00000000" w:rsidRPr="00000000" w14:paraId="000000DB">
            <w:pPr>
              <w:spacing w:before="2" w:line="288" w:lineRule="auto"/>
              <w:ind w:left="139" w:right="126" w:firstLine="0"/>
              <w:jc w:val="center"/>
              <w:rPr/>
            </w:pPr>
            <w:r w:rsidDel="00000000" w:rsidR="00000000" w:rsidRPr="00000000">
              <w:rPr>
                <w:color w:val="000000"/>
                <w:rtl w:val="0"/>
              </w:rPr>
              <w:t xml:space="preserve">COMITÉ TÉCNICO OPERATIVO No. </w:t>
            </w:r>
            <w:r w:rsidDel="00000000" w:rsidR="00000000" w:rsidRPr="00000000">
              <w:rPr>
                <w:rtl w:val="0"/>
              </w:rPr>
              <w:t xml:space="preserve">5</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12/06/</w:t>
            </w:r>
            <w:r w:rsidDel="00000000" w:rsidR="00000000" w:rsidRPr="00000000">
              <w:rPr>
                <w:rtl w:val="0"/>
              </w:rPr>
              <w:t xml:space="preserve">2025</w:t>
            </w:r>
            <w:r w:rsidDel="00000000" w:rsidR="00000000" w:rsidRPr="00000000">
              <w:rPr>
                <w:rtl w:val="0"/>
              </w:rPr>
            </w:r>
          </w:p>
        </w:tc>
      </w:tr>
      <w:tr>
        <w:trPr>
          <w:cantSplit w:val="0"/>
          <w:trHeight w:val="452.63513513513516" w:hRule="atLeast"/>
          <w:tblHeader w:val="0"/>
        </w:trPr>
        <w:tc>
          <w:tcPr/>
          <w:p w:rsidR="00000000" w:rsidDel="00000000" w:rsidP="00000000" w:rsidRDefault="00000000" w:rsidRPr="00000000" w14:paraId="000000DD">
            <w:pPr>
              <w:spacing w:before="2" w:line="288" w:lineRule="auto"/>
              <w:ind w:left="139" w:right="126" w:firstLine="0"/>
              <w:jc w:val="center"/>
              <w:rPr/>
            </w:pPr>
            <w:r w:rsidDel="00000000" w:rsidR="00000000" w:rsidRPr="00000000">
              <w:rPr>
                <w:rtl w:val="0"/>
              </w:rPr>
              <w:t xml:space="preserve">COMITÉ TÉCNICO OPERATIVO ASINCRÓNICO No. 6</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13/06/</w:t>
            </w:r>
            <w:r w:rsidDel="00000000" w:rsidR="00000000" w:rsidRPr="00000000">
              <w:rPr>
                <w:rtl w:val="0"/>
              </w:rPr>
              <w:t xml:space="preserve">2025</w:t>
            </w:r>
            <w:r w:rsidDel="00000000" w:rsidR="00000000" w:rsidRPr="00000000">
              <w:rPr>
                <w:rtl w:val="0"/>
              </w:rPr>
            </w:r>
          </w:p>
        </w:tc>
      </w:tr>
    </w:tbl>
    <w:p w:rsidR="00000000" w:rsidDel="00000000" w:rsidP="00000000" w:rsidRDefault="00000000" w:rsidRPr="00000000" w14:paraId="000000D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0">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t xml:space="preserve">(CUANDO EL CONTRATO SEA DE OBRA, SE No aplica </w:t>
      </w:r>
      <w:r w:rsidDel="00000000" w:rsidR="00000000" w:rsidRPr="00000000">
        <w:rPr>
          <w:color w:val="000000"/>
          <w:rtl w:val="0"/>
        </w:rPr>
        <w:t xml:space="preserve">para este Convenio Interadministrativo)</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E2">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3">
      <w:pPr>
        <w:pStyle w:val="Heading1"/>
        <w:numPr>
          <w:ilvl w:val="0"/>
          <w:numId w:val="3"/>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59" w:lineRule="auto"/>
        <w:ind w:left="264" w:right="39" w:firstLine="0"/>
        <w:jc w:val="both"/>
        <w:rPr>
          <w:b w:val="1"/>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59" w:lineRule="auto"/>
        <w:ind w:left="264" w:right="39" w:firstLine="0"/>
        <w:jc w:val="both"/>
        <w:rPr>
          <w:color w:val="000000"/>
        </w:rPr>
      </w:pPr>
      <w:r w:rsidDel="00000000" w:rsidR="00000000" w:rsidRPr="00000000">
        <w:rPr>
          <w:color w:val="000000"/>
          <w:rtl w:val="0"/>
        </w:rPr>
        <w:t xml:space="preserve">Una vez analizados los soportes presentados por el contratista, </w:t>
      </w:r>
      <w:r w:rsidDel="00000000" w:rsidR="00000000" w:rsidRPr="00000000">
        <w:rPr>
          <w:rtl w:val="0"/>
        </w:rPr>
        <w:t xml:space="preserve">la </w:t>
      </w:r>
      <w:r w:rsidDel="00000000" w:rsidR="00000000" w:rsidRPr="00000000">
        <w:rPr>
          <w:color w:val="000000"/>
          <w:rtl w:val="0"/>
        </w:rPr>
        <w:t xml:space="preserve">supervisión certifica el cumplimiento por parte de la </w:t>
      </w:r>
      <w:r w:rsidDel="00000000" w:rsidR="00000000" w:rsidRPr="00000000">
        <w:rPr>
          <w:rtl w:val="0"/>
        </w:rPr>
        <w:t xml:space="preserve">Asociación Nacional de Música Sinfónica</w:t>
      </w:r>
      <w:r w:rsidDel="00000000" w:rsidR="00000000" w:rsidRPr="00000000">
        <w:rPr>
          <w:color w:val="000000"/>
          <w:rtl w:val="0"/>
        </w:rPr>
        <w:t xml:space="preserve"> del objeto y de cada una de las obligaciones previstas en el Convenio de Asociación No. </w:t>
      </w:r>
      <w:r w:rsidDel="00000000" w:rsidR="00000000" w:rsidRPr="00000000">
        <w:rPr>
          <w:rtl w:val="0"/>
        </w:rPr>
        <w:t xml:space="preserve">768</w:t>
      </w:r>
      <w:r w:rsidDel="00000000" w:rsidR="00000000" w:rsidRPr="00000000">
        <w:rPr>
          <w:color w:val="000000"/>
          <w:rtl w:val="0"/>
        </w:rPr>
        <w:t xml:space="preserve"> de 2024.</w:t>
      </w:r>
    </w:p>
    <w:p w:rsidR="00000000" w:rsidDel="00000000" w:rsidP="00000000" w:rsidRDefault="00000000" w:rsidRPr="00000000" w14:paraId="000000E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49" w:lineRule="auto"/>
        <w:rPr>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30</w:t>
      </w:r>
      <w:r w:rsidDel="00000000" w:rsidR="00000000" w:rsidRPr="00000000">
        <w:rPr>
          <w:rtl w:val="0"/>
        </w:rPr>
        <w:t xml:space="preserve">/06/2025</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headerReference r:id="rId16" w:type="default"/>
      <w:pgSz w:h="15840" w:w="12240" w:orient="portrait"/>
      <w:pgMar w:bottom="280" w:top="3040" w:left="1440" w:right="1080" w:header="1022"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tbl>
    <w:tblPr>
      <w:tblStyle w:val="Table18"/>
      <w:tblW w:w="9398.0" w:type="dxa"/>
      <w:jc w:val="left"/>
      <w:tblInd w:w="3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33"/>
      <w:gridCol w:w="4757"/>
      <w:gridCol w:w="2708"/>
      <w:tblGridChange w:id="0">
        <w:tblGrid>
          <w:gridCol w:w="1933"/>
          <w:gridCol w:w="4757"/>
          <w:gridCol w:w="2708"/>
        </w:tblGrid>
      </w:tblGridChange>
    </w:tblGrid>
    <w:tr>
      <w:trPr>
        <w:cantSplit w:val="0"/>
        <w:trHeight w:val="547" w:hRule="atLeast"/>
        <w:tblHeader w:val="0"/>
      </w:trPr>
      <w:tc>
        <w:tcPr>
          <w:vMerge w:val="restart"/>
          <w:tcBorders>
            <w:bottom w:color="000000" w:space="0" w:sz="0" w:val="nil"/>
          </w:tcBorders>
        </w:tcPr>
        <w:p w:rsidR="00000000" w:rsidDel="00000000" w:rsidP="00000000" w:rsidRDefault="00000000" w:rsidRPr="00000000" w14:paraId="000000F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before="55" w:lineRule="auto"/>
            <w:ind w:left="1000" w:firstLine="0"/>
            <w:rPr>
              <w:b w:val="1"/>
              <w:color w:val="000000"/>
            </w:rPr>
          </w:pPr>
          <w:r w:rsidDel="00000000" w:rsidR="00000000" w:rsidRPr="00000000">
            <w:rPr>
              <w:b w:val="1"/>
              <w:color w:val="000000"/>
              <w:rtl w:val="0"/>
            </w:rPr>
            <w:t xml:space="preserve">GESTIÓN CONTRACTUAL</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9" w:hRule="atLeast"/>
        <w:tblHeader w:val="0"/>
      </w:trPr>
      <w:tc>
        <w:tcPr>
          <w:vMerge w:val="continue"/>
          <w:tcBorders>
            <w:bottom w:color="000000" w:space="0" w:sz="0" w:val="nil"/>
          </w:tcBorders>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F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ind w:left="763" w:firstLine="0"/>
            <w:rPr>
              <w:b w:val="1"/>
              <w:color w:val="000000"/>
              <w:sz w:val="24"/>
              <w:szCs w:val="24"/>
            </w:rPr>
          </w:pPr>
          <w:r w:rsidDel="00000000" w:rsidR="00000000" w:rsidRPr="00000000">
            <w:rPr>
              <w:b w:val="1"/>
              <w:color w:val="000000"/>
              <w:sz w:val="24"/>
              <w:szCs w:val="24"/>
              <w:rtl w:val="0"/>
            </w:rPr>
            <w:t xml:space="preserve">INFORME DE SUPERVISIÓN</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before="53" w:lineRule="auto"/>
            <w:ind w:left="59" w:firstLine="0"/>
            <w:rPr>
              <w:color w:val="000000"/>
              <w:sz w:val="16"/>
              <w:szCs w:val="16"/>
            </w:rPr>
          </w:pPr>
          <w:r w:rsidDel="00000000" w:rsidR="00000000" w:rsidRPr="00000000">
            <w:rPr>
              <w:color w:val="000000"/>
              <w:sz w:val="16"/>
              <w:szCs w:val="16"/>
              <w:rtl w:val="0"/>
            </w:rPr>
            <w:t xml:space="preserve">VERSIÓN: 1</w:t>
          </w:r>
        </w:p>
      </w:tc>
    </w:tr>
    <w:tr>
      <w:trPr>
        <w:cantSplit w:val="0"/>
        <w:trHeight w:val="492" w:hRule="atLeast"/>
        <w:tblHeader w:val="0"/>
      </w:trPr>
      <w:tc>
        <w:tcPr>
          <w:vMerge w:val="continue"/>
          <w:tcBorders>
            <w:bottom w:color="000000" w:space="0" w:sz="0" w:val="nil"/>
          </w:tcBorders>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FECHA:10/07/2024</w:t>
          </w:r>
        </w:p>
      </w:tc>
    </w:tr>
    <w:tr>
      <w:trPr>
        <w:cantSplit w:val="0"/>
        <w:trHeight w:val="472" w:hRule="atLeast"/>
        <w:tblHeader w:val="0"/>
      </w:trPr>
      <w:tc>
        <w:tcPr>
          <w:vMerge w:val="continue"/>
          <w:tcBorders>
            <w:bottom w:color="000000" w:space="0" w:sz="0" w:val="nil"/>
          </w:tcBorders>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HOJA: 1</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0FF">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5"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0"/>
      <w:numFmt w:val="bullet"/>
      <w:lvlText w:val="●"/>
      <w:lvlJc w:val="left"/>
      <w:pPr>
        <w:ind w:left="472" w:hanging="360"/>
      </w:pPr>
      <w:rPr>
        <w:rFonts w:ascii="Noto Sans Symbols" w:cs="Noto Sans Symbols" w:eastAsia="Noto Sans Symbols" w:hAnsi="Noto Sans Symbols"/>
      </w:rPr>
    </w:lvl>
    <w:lvl w:ilvl="1">
      <w:start w:val="1"/>
      <w:numFmt w:val="bullet"/>
      <w:lvlText w:val="o"/>
      <w:lvlJc w:val="left"/>
      <w:pPr>
        <w:ind w:left="1192" w:hanging="360"/>
      </w:pPr>
      <w:rPr>
        <w:rFonts w:ascii="Courier New" w:cs="Courier New" w:eastAsia="Courier New" w:hAnsi="Courier New"/>
      </w:rPr>
    </w:lvl>
    <w:lvl w:ilvl="2">
      <w:start w:val="1"/>
      <w:numFmt w:val="bullet"/>
      <w:lvlText w:val="▪"/>
      <w:lvlJc w:val="left"/>
      <w:pPr>
        <w:ind w:left="1912" w:hanging="360"/>
      </w:pPr>
      <w:rPr>
        <w:rFonts w:ascii="Noto Sans Symbols" w:cs="Noto Sans Symbols" w:eastAsia="Noto Sans Symbols" w:hAnsi="Noto Sans Symbols"/>
      </w:rPr>
    </w:lvl>
    <w:lvl w:ilvl="3">
      <w:start w:val="1"/>
      <w:numFmt w:val="bullet"/>
      <w:lvlText w:val="●"/>
      <w:lvlJc w:val="left"/>
      <w:pPr>
        <w:ind w:left="2632" w:hanging="360"/>
      </w:pPr>
      <w:rPr>
        <w:rFonts w:ascii="Noto Sans Symbols" w:cs="Noto Sans Symbols" w:eastAsia="Noto Sans Symbols" w:hAnsi="Noto Sans Symbols"/>
      </w:rPr>
    </w:lvl>
    <w:lvl w:ilvl="4">
      <w:start w:val="1"/>
      <w:numFmt w:val="bullet"/>
      <w:lvlText w:val="o"/>
      <w:lvlJc w:val="left"/>
      <w:pPr>
        <w:ind w:left="3352" w:hanging="360"/>
      </w:pPr>
      <w:rPr>
        <w:rFonts w:ascii="Courier New" w:cs="Courier New" w:eastAsia="Courier New" w:hAnsi="Courier New"/>
      </w:rPr>
    </w:lvl>
    <w:lvl w:ilvl="5">
      <w:start w:val="1"/>
      <w:numFmt w:val="bullet"/>
      <w:lvlText w:val="▪"/>
      <w:lvlJc w:val="left"/>
      <w:pPr>
        <w:ind w:left="4072" w:hanging="360"/>
      </w:pPr>
      <w:rPr>
        <w:rFonts w:ascii="Noto Sans Symbols" w:cs="Noto Sans Symbols" w:eastAsia="Noto Sans Symbols" w:hAnsi="Noto Sans Symbols"/>
      </w:rPr>
    </w:lvl>
    <w:lvl w:ilvl="6">
      <w:start w:val="1"/>
      <w:numFmt w:val="bullet"/>
      <w:lvlText w:val="●"/>
      <w:lvlJc w:val="left"/>
      <w:pPr>
        <w:ind w:left="4792" w:hanging="360"/>
      </w:pPr>
      <w:rPr>
        <w:rFonts w:ascii="Noto Sans Symbols" w:cs="Noto Sans Symbols" w:eastAsia="Noto Sans Symbols" w:hAnsi="Noto Sans Symbols"/>
      </w:rPr>
    </w:lvl>
    <w:lvl w:ilvl="7">
      <w:start w:val="1"/>
      <w:numFmt w:val="bullet"/>
      <w:lvlText w:val="o"/>
      <w:lvlJc w:val="left"/>
      <w:pPr>
        <w:ind w:left="5512" w:hanging="360"/>
      </w:pPr>
      <w:rPr>
        <w:rFonts w:ascii="Courier New" w:cs="Courier New" w:eastAsia="Courier New" w:hAnsi="Courier New"/>
      </w:rPr>
    </w:lvl>
    <w:lvl w:ilvl="8">
      <w:start w:val="1"/>
      <w:numFmt w:val="bullet"/>
      <w:lvlText w:val="▪"/>
      <w:lvlJc w:val="left"/>
      <w:pPr>
        <w:ind w:left="6232" w:hanging="360"/>
      </w:pPr>
      <w:rPr>
        <w:rFonts w:ascii="Noto Sans Symbols" w:cs="Noto Sans Symbols" w:eastAsia="Noto Sans Symbols" w:hAnsi="Noto Sans Symbols"/>
      </w:rPr>
    </w:lvl>
  </w:abstractNum>
  <w:abstractNum w:abstractNumId="3">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622" w:hanging="358"/>
      <w:jc w:val="both"/>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10"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2"/>
    <w:tblPr>
      <w:tblStyleRowBandSize w:val="1"/>
      <w:tblStyleColBandSize w:val="1"/>
    </w:tblPr>
  </w:style>
  <w:style w:type="table" w:styleId="af2" w:customStyle="1">
    <w:basedOn w:val="TableNormal2"/>
    <w:tblPr>
      <w:tblStyleRowBandSize w:val="1"/>
      <w:tblStyleColBandSize w:val="1"/>
    </w:tblPr>
  </w:style>
  <w:style w:type="table" w:styleId="af3" w:customStyle="1">
    <w:basedOn w:val="TableNormal2"/>
    <w:tblPr>
      <w:tblStyleRowBandSize w:val="1"/>
      <w:tblStyleColBandSize w:val="1"/>
    </w:tblPr>
  </w:style>
  <w:style w:type="table" w:styleId="af4" w:customStyle="1">
    <w:basedOn w:val="TableNormal2"/>
    <w:tblPr>
      <w:tblStyleRowBandSize w:val="1"/>
      <w:tblStyleColBandSize w:val="1"/>
    </w:tblPr>
  </w:style>
  <w:style w:type="table" w:styleId="af5" w:customStyle="1">
    <w:basedOn w:val="TableNormal2"/>
    <w:tblPr>
      <w:tblStyleRowBandSize w:val="1"/>
      <w:tblStyleColBandSize w:val="1"/>
    </w:tblPr>
  </w:style>
  <w:style w:type="table" w:styleId="af6" w:customStyle="1">
    <w:basedOn w:val="TableNormal2"/>
    <w:tblPr>
      <w:tblStyleRowBandSize w:val="1"/>
      <w:tblStyleColBandSize w:val="1"/>
    </w:tblPr>
  </w:style>
  <w:style w:type="table" w:styleId="af7" w:customStyle="1">
    <w:basedOn w:val="TableNormal2"/>
    <w:tblPr>
      <w:tblStyleRowBandSize w:val="1"/>
      <w:tblStyleColBandSize w:val="1"/>
    </w:tblPr>
  </w:style>
  <w:style w:type="table" w:styleId="af8" w:customStyle="1">
    <w:basedOn w:val="TableNormal2"/>
    <w:tblPr>
      <w:tblStyleRowBandSize w:val="1"/>
      <w:tblStyleColBandSize w:val="1"/>
    </w:tblPr>
  </w:style>
  <w:style w:type="table" w:styleId="af9" w:customStyle="1">
    <w:basedOn w:val="TableNormal2"/>
    <w:tblPr>
      <w:tblStyleRowBandSize w:val="1"/>
      <w:tblStyleColBandSize w:val="1"/>
    </w:tblPr>
  </w:style>
  <w:style w:type="table" w:styleId="afa" w:customStyle="1">
    <w:basedOn w:val="TableNormal2"/>
    <w:tblPr>
      <w:tblStyleRowBandSize w:val="1"/>
      <w:tblStyleColBandSize w:val="1"/>
    </w:tblPr>
  </w:style>
  <w:style w:type="table" w:styleId="afb" w:customStyle="1">
    <w:basedOn w:val="TableNormal2"/>
    <w:tblPr>
      <w:tblStyleRowBandSize w:val="1"/>
      <w:tblStyleColBandSize w:val="1"/>
    </w:tblPr>
  </w:style>
  <w:style w:type="table" w:styleId="afc" w:customStyle="1">
    <w:basedOn w:val="TableNormal2"/>
    <w:tblPr>
      <w:tblStyleRowBandSize w:val="1"/>
      <w:tblStyleColBandSize w:val="1"/>
    </w:tblPr>
  </w:style>
  <w:style w:type="table" w:styleId="afd" w:customStyle="1">
    <w:basedOn w:val="TableNormal2"/>
    <w:tblPr>
      <w:tblStyleRowBandSize w:val="1"/>
      <w:tblStyleColBandSize w:val="1"/>
    </w:tblPr>
  </w:style>
  <w:style w:type="table" w:styleId="afe" w:customStyle="1">
    <w:basedOn w:val="TableNormal2"/>
    <w:tblPr>
      <w:tblStyleRowBandSize w:val="1"/>
      <w:tblStyleColBandSize w:val="1"/>
    </w:tblPr>
  </w:style>
  <w:style w:type="table" w:styleId="aff" w:customStyle="1">
    <w:basedOn w:val="TableNormal2"/>
    <w:tblPr>
      <w:tblStyleRowBandSize w:val="1"/>
      <w:tblStyleColBandSize w:val="1"/>
    </w:tblPr>
  </w:style>
  <w:style w:type="table" w:styleId="aff0" w:customStyle="1">
    <w:basedOn w:val="TableNormal2"/>
    <w:tblPr>
      <w:tblStyleRowBandSize w:val="1"/>
      <w:tblStyleColBandSize w:val="1"/>
    </w:tblPr>
  </w:style>
  <w:style w:type="table" w:styleId="aff1" w:customStyle="1">
    <w:basedOn w:val="TableNormal2"/>
    <w:tblPr>
      <w:tblStyleRowBandSize w:val="1"/>
      <w:tblStyleColBandSize w:val="1"/>
    </w:tblPr>
  </w:style>
  <w:style w:type="table" w:styleId="aff2" w:customStyle="1">
    <w:basedOn w:val="TableNormal2"/>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table" w:styleId="aff3" w:customStyle="1">
    <w:basedOn w:val="TableNormal1"/>
    <w:tblPr>
      <w:tblStyleRowBandSize w:val="1"/>
      <w:tblStyleColBandSize w:val="1"/>
    </w:tblPr>
  </w:style>
  <w:style w:type="table" w:styleId="aff4" w:customStyle="1">
    <w:basedOn w:val="TableNormal1"/>
    <w:tblPr>
      <w:tblStyleRowBandSize w:val="1"/>
      <w:tblStyleColBandSize w:val="1"/>
    </w:tblPr>
  </w:style>
  <w:style w:type="table" w:styleId="aff5" w:customStyle="1">
    <w:basedOn w:val="TableNormal1"/>
    <w:tblPr>
      <w:tblStyleRowBandSize w:val="1"/>
      <w:tblStyleColBandSize w:val="1"/>
    </w:tblPr>
  </w:style>
  <w:style w:type="table" w:styleId="aff6" w:customStyle="1">
    <w:basedOn w:val="TableNormal1"/>
    <w:tblPr>
      <w:tblStyleRowBandSize w:val="1"/>
      <w:tblStyleColBandSize w:val="1"/>
    </w:tblPr>
  </w:style>
  <w:style w:type="table" w:styleId="aff7" w:customStyle="1">
    <w:basedOn w:val="TableNormal1"/>
    <w:tblPr>
      <w:tblStyleRowBandSize w:val="1"/>
      <w:tblStyleColBandSize w:val="1"/>
    </w:tblPr>
  </w:style>
  <w:style w:type="table" w:styleId="aff8" w:customStyle="1">
    <w:basedOn w:val="TableNormal1"/>
    <w:tblPr>
      <w:tblStyleRowBandSize w:val="1"/>
      <w:tblStyleColBandSize w:val="1"/>
    </w:tblPr>
  </w:style>
  <w:style w:type="table" w:styleId="aff9" w:customStyle="1">
    <w:basedOn w:val="TableNormal1"/>
    <w:tblPr>
      <w:tblStyleRowBandSize w:val="1"/>
      <w:tblStyleColBandSize w:val="1"/>
    </w:tblPr>
  </w:style>
  <w:style w:type="table" w:styleId="affa" w:customStyle="1">
    <w:basedOn w:val="TableNormal1"/>
    <w:tblPr>
      <w:tblStyleRowBandSize w:val="1"/>
      <w:tblStyleColBandSize w:val="1"/>
    </w:tblPr>
  </w:style>
  <w:style w:type="table" w:styleId="affb" w:customStyle="1">
    <w:basedOn w:val="TableNormal1"/>
    <w:tblPr>
      <w:tblStyleRowBandSize w:val="1"/>
      <w:tblStyleColBandSize w:val="1"/>
    </w:tblPr>
  </w:style>
  <w:style w:type="table" w:styleId="affc" w:customStyle="1">
    <w:basedOn w:val="TableNormal1"/>
    <w:tblPr>
      <w:tblStyleRowBandSize w:val="1"/>
      <w:tblStyleColBandSize w:val="1"/>
    </w:tblPr>
  </w:style>
  <w:style w:type="table" w:styleId="affd" w:customStyle="1">
    <w:basedOn w:val="TableNormal1"/>
    <w:tblPr>
      <w:tblStyleRowBandSize w:val="1"/>
      <w:tblStyleColBandSize w:val="1"/>
    </w:tblPr>
  </w:style>
  <w:style w:type="table" w:styleId="affe" w:customStyle="1">
    <w:basedOn w:val="TableNormal1"/>
    <w:tblPr>
      <w:tblStyleRowBandSize w:val="1"/>
      <w:tblStyleColBandSize w:val="1"/>
    </w:tblPr>
  </w:style>
  <w:style w:type="table" w:styleId="afff" w:customStyle="1">
    <w:basedOn w:val="TableNormal1"/>
    <w:tblPr>
      <w:tblStyleRowBandSize w:val="1"/>
      <w:tblStyleColBandSize w:val="1"/>
    </w:tblPr>
  </w:style>
  <w:style w:type="table" w:styleId="afff0" w:customStyle="1">
    <w:basedOn w:val="TableNormal1"/>
    <w:tblPr>
      <w:tblStyleRowBandSize w:val="1"/>
      <w:tblStyleColBandSize w:val="1"/>
    </w:tblPr>
  </w:style>
  <w:style w:type="table" w:styleId="afff1" w:customStyle="1">
    <w:basedOn w:val="TableNormal1"/>
    <w:tblPr>
      <w:tblStyleRowBandSize w:val="1"/>
      <w:tblStyleColBandSize w:val="1"/>
    </w:tblPr>
  </w:style>
  <w:style w:type="table" w:styleId="afff2" w:customStyle="1">
    <w:basedOn w:val="TableNormal1"/>
    <w:tblPr>
      <w:tblStyleRowBandSize w:val="1"/>
      <w:tblStyleColBandSize w:val="1"/>
    </w:tblPr>
  </w:style>
  <w:style w:type="table" w:styleId="afff3" w:customStyle="1">
    <w:basedOn w:val="TableNormal1"/>
    <w:tblPr>
      <w:tblStyleRowBandSize w:val="1"/>
      <w:tblStyleColBandSize w:val="1"/>
    </w:tblPr>
  </w:style>
  <w:style w:type="table" w:styleId="afff4" w:customStyle="1">
    <w:basedOn w:val="TableNormal1"/>
    <w:tblPr>
      <w:tblStyleRowBandSize w:val="1"/>
      <w:tblStyleColBandSize w:val="1"/>
    </w:tblPr>
  </w:style>
  <w:style w:type="paragraph" w:styleId="Encabezado">
    <w:name w:val="header"/>
    <w:basedOn w:val="Normal"/>
    <w:link w:val="EncabezadoCar"/>
    <w:uiPriority w:val="99"/>
    <w:unhideWhenUsed w:val="1"/>
    <w:rsid w:val="00756264"/>
    <w:pPr>
      <w:tabs>
        <w:tab w:val="center" w:pos="4419"/>
        <w:tab w:val="right" w:pos="8838"/>
      </w:tabs>
    </w:pPr>
  </w:style>
  <w:style w:type="character" w:styleId="EncabezadoCar" w:customStyle="1">
    <w:name w:val="Encabezado Car"/>
    <w:basedOn w:val="Fuentedeprrafopredeter"/>
    <w:link w:val="Encabezado"/>
    <w:uiPriority w:val="99"/>
    <w:rsid w:val="00756264"/>
    <w:rPr>
      <w:rFonts w:ascii="Arial MT" w:cs="Arial MT" w:eastAsia="Arial MT" w:hAnsi="Arial MT"/>
    </w:rPr>
  </w:style>
  <w:style w:type="paragraph" w:styleId="Piedepgina">
    <w:name w:val="footer"/>
    <w:basedOn w:val="Normal"/>
    <w:link w:val="PiedepginaCar"/>
    <w:uiPriority w:val="99"/>
    <w:unhideWhenUsed w:val="1"/>
    <w:rsid w:val="00756264"/>
    <w:pPr>
      <w:tabs>
        <w:tab w:val="center" w:pos="4419"/>
        <w:tab w:val="right" w:pos="8838"/>
      </w:tabs>
    </w:pPr>
  </w:style>
  <w:style w:type="character" w:styleId="PiedepginaCar" w:customStyle="1">
    <w:name w:val="Pie de página Car"/>
    <w:basedOn w:val="Fuentedeprrafopredeter"/>
    <w:link w:val="Piedepgina"/>
    <w:uiPriority w:val="99"/>
    <w:rsid w:val="00756264"/>
    <w:rPr>
      <w:rFonts w:ascii="Arial MT" w:cs="Arial MT" w:eastAsia="Arial MT" w:hAnsi="Arial MT"/>
    </w:rPr>
  </w:style>
  <w:style w:type="character" w:styleId="Hipervnculo">
    <w:name w:val="Hyperlink"/>
    <w:basedOn w:val="Fuentedeprrafopredeter"/>
    <w:uiPriority w:val="99"/>
    <w:unhideWhenUsed w:val="1"/>
    <w:rsid w:val="00756264"/>
    <w:rPr>
      <w:color w:val="0000ff" w:themeColor="hyperlink"/>
      <w:u w:val="single"/>
    </w:rPr>
  </w:style>
  <w:style w:type="character" w:styleId="Mencinsinresolver">
    <w:name w:val="Unresolved Mention"/>
    <w:basedOn w:val="Fuentedeprrafopredeter"/>
    <w:uiPriority w:val="99"/>
    <w:semiHidden w:val="1"/>
    <w:unhideWhenUsed w:val="1"/>
    <w:rsid w:val="00756264"/>
    <w:rPr>
      <w:color w:val="605e5c"/>
      <w:shd w:color="auto" w:fill="e1dfdd" w:val="clear"/>
    </w:rPr>
  </w:style>
  <w:style w:type="paragraph" w:styleId="NormalWeb">
    <w:name w:val="Normal (Web)"/>
    <w:basedOn w:val="Normal"/>
    <w:uiPriority w:val="99"/>
    <w:unhideWhenUsed w:val="1"/>
    <w:rsid w:val="009118C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Hipervnculovisitado">
    <w:name w:val="FollowedHyperlink"/>
    <w:basedOn w:val="Fuentedeprrafopredeter"/>
    <w:uiPriority w:val="99"/>
    <w:semiHidden w:val="1"/>
    <w:unhideWhenUsed w:val="1"/>
    <w:rsid w:val="0022632A"/>
    <w:rPr>
      <w:color w:val="800080" w:themeColor="followedHyperlink"/>
      <w:u w:val="single"/>
    </w:rPr>
  </w:style>
  <w:style w:type="table" w:styleId="afff5" w:customStyle="1">
    <w:basedOn w:val="TableNormal0"/>
    <w:tblPr>
      <w:tblStyleRowBandSize w:val="1"/>
      <w:tblStyleColBandSize w:val="1"/>
    </w:tblPr>
  </w:style>
  <w:style w:type="table" w:styleId="afff6" w:customStyle="1">
    <w:basedOn w:val="TableNormal0"/>
    <w:tblPr>
      <w:tblStyleRowBandSize w:val="1"/>
      <w:tblStyleColBandSize w:val="1"/>
    </w:tblPr>
  </w:style>
  <w:style w:type="table" w:styleId="afff7" w:customStyle="1">
    <w:basedOn w:val="TableNormal0"/>
    <w:tblPr>
      <w:tblStyleRowBandSize w:val="1"/>
      <w:tblStyleColBandSize w:val="1"/>
    </w:tblPr>
  </w:style>
  <w:style w:type="table" w:styleId="afff8" w:customStyle="1">
    <w:basedOn w:val="TableNormal0"/>
    <w:tblPr>
      <w:tblStyleRowBandSize w:val="1"/>
      <w:tblStyleColBandSize w:val="1"/>
    </w:tblPr>
  </w:style>
  <w:style w:type="table" w:styleId="afff9" w:customStyle="1">
    <w:basedOn w:val="TableNormal0"/>
    <w:tblPr>
      <w:tblStyleRowBandSize w:val="1"/>
      <w:tblStyleColBandSize w:val="1"/>
    </w:tblPr>
  </w:style>
  <w:style w:type="table" w:styleId="afffa" w:customStyle="1">
    <w:basedOn w:val="TableNormal0"/>
    <w:tblPr>
      <w:tblStyleRowBandSize w:val="1"/>
      <w:tblStyleColBandSize w:val="1"/>
    </w:tblPr>
  </w:style>
  <w:style w:type="table" w:styleId="afffb" w:customStyle="1">
    <w:basedOn w:val="TableNormal0"/>
    <w:tblPr>
      <w:tblStyleRowBandSize w:val="1"/>
      <w:tblStyleColBandSize w:val="1"/>
    </w:tblPr>
  </w:style>
  <w:style w:type="table" w:styleId="afffc" w:customStyle="1">
    <w:basedOn w:val="TableNormal0"/>
    <w:tblPr>
      <w:tblStyleRowBandSize w:val="1"/>
      <w:tblStyleColBandSize w:val="1"/>
    </w:tblPr>
  </w:style>
  <w:style w:type="table" w:styleId="afffd" w:customStyle="1">
    <w:basedOn w:val="TableNormal0"/>
    <w:tblPr>
      <w:tblStyleRowBandSize w:val="1"/>
      <w:tblStyleColBandSize w:val="1"/>
    </w:tblPr>
  </w:style>
  <w:style w:type="table" w:styleId="afffe" w:customStyle="1">
    <w:basedOn w:val="TableNormal0"/>
    <w:tblPr>
      <w:tblStyleRowBandSize w:val="1"/>
      <w:tblStyleColBandSize w:val="1"/>
    </w:tblPr>
  </w:style>
  <w:style w:type="table" w:styleId="affff" w:customStyle="1">
    <w:basedOn w:val="TableNormal0"/>
    <w:tblPr>
      <w:tblStyleRowBandSize w:val="1"/>
      <w:tblStyleColBandSize w:val="1"/>
    </w:tblPr>
  </w:style>
  <w:style w:type="table" w:styleId="affff0" w:customStyle="1">
    <w:basedOn w:val="TableNormal0"/>
    <w:tblPr>
      <w:tblStyleRowBandSize w:val="1"/>
      <w:tblStyleColBandSize w:val="1"/>
    </w:tblPr>
  </w:style>
  <w:style w:type="table" w:styleId="affff1" w:customStyle="1">
    <w:basedOn w:val="TableNormal0"/>
    <w:tblPr>
      <w:tblStyleRowBandSize w:val="1"/>
      <w:tblStyleColBandSize w:val="1"/>
    </w:tblPr>
  </w:style>
  <w:style w:type="table" w:styleId="affff2" w:customStyle="1">
    <w:basedOn w:val="TableNormal0"/>
    <w:tblPr>
      <w:tblStyleRowBandSize w:val="1"/>
      <w:tblStyleColBandSize w:val="1"/>
    </w:tblPr>
  </w:style>
  <w:style w:type="table" w:styleId="affff3" w:customStyle="1">
    <w:basedOn w:val="TableNormal0"/>
    <w:tblPr>
      <w:tblStyleRowBandSize w:val="1"/>
      <w:tblStyleColBandSize w:val="1"/>
    </w:tblPr>
  </w:style>
  <w:style w:type="table" w:styleId="affff4" w:customStyle="1">
    <w:basedOn w:val="TableNormal0"/>
    <w:tblPr>
      <w:tblStyleRowBandSize w:val="1"/>
      <w:tblStyleColBandSize w:val="1"/>
    </w:tblPr>
  </w:style>
  <w:style w:type="table" w:styleId="affff5" w:customStyle="1">
    <w:basedOn w:val="TableNormal0"/>
    <w:tblPr>
      <w:tblStyleRowBandSize w:val="1"/>
      <w:tblStyleColBandSize w:val="1"/>
    </w:tblPr>
  </w:style>
  <w:style w:type="table" w:styleId="affff6"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1.png"/><Relationship Id="rId13" Type="http://schemas.openxmlformats.org/officeDocument/2006/relationships/hyperlink" Target="https://docs.google.com/spreadsheets/d/1GU8awbeVuK4rATLpWoUzCYAiEtOcg5yzG4_4D4VHPQc/edit?gid=0#gid=0" TargetMode="External"/><Relationship Id="rId12" Type="http://schemas.openxmlformats.org/officeDocument/2006/relationships/hyperlink" Target="mailto:correspondencia.externa@scrd.gov.c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6FGwL2jJHozuUL69DdMafDSq8o5S-cFl/edit?gid=603175216#gid=603175216" TargetMode="External"/><Relationship Id="rId15" Type="http://schemas.openxmlformats.org/officeDocument/2006/relationships/hyperlink" Target="https://docs.google.com/spreadsheets/d/11CgkkQH2bsRsHCTCKwA_DuXy81tXaGRWZdRGMvumv3M/edit?pli=1&amp;gid=1028933370#gid=1028933370" TargetMode="External"/><Relationship Id="rId14" Type="http://schemas.openxmlformats.org/officeDocument/2006/relationships/hyperlink" Target="https://drive.google.com/drive/folders/1DrnrLn9M7Xd-OWl3K_65itAk2KUcv-XN?usp=drive_link" TargetMode="Externa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ocs.google.com/document/d/1THOJOvEaz-hTGqDA1dlgzst3ZZXFMrU-lERvGP0243s/edit?tab=t.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dRQxdYjZxZRZ6ED+qJqGPNYCLQ==">CgMxLjA4AHIhMThSaDlrMDl5Nk4wTUpZSDltRTFnRnY3LUxzUmluTy1o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2025-07-14T17:01:00Z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